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43" w:rsidRPr="00CA7C84" w:rsidRDefault="00664843" w:rsidP="00CA7C84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CA7C84">
        <w:rPr>
          <w:rFonts w:eastAsiaTheme="minorHAnsi"/>
          <w:b/>
          <w:sz w:val="28"/>
          <w:szCs w:val="28"/>
          <w:u w:val="single"/>
          <w:lang w:eastAsia="en-US"/>
        </w:rPr>
        <w:t xml:space="preserve">Úplná aktualizace </w:t>
      </w:r>
      <w:r w:rsidR="00CA7C84" w:rsidRPr="00CA7C84">
        <w:rPr>
          <w:rFonts w:eastAsiaTheme="minorHAnsi"/>
          <w:b/>
          <w:sz w:val="28"/>
          <w:szCs w:val="28"/>
          <w:u w:val="single"/>
          <w:lang w:eastAsia="en-US"/>
        </w:rPr>
        <w:t xml:space="preserve">územně analytických podkladů </w:t>
      </w:r>
      <w:r w:rsidRPr="00CA7C84">
        <w:rPr>
          <w:rFonts w:eastAsiaTheme="minorHAnsi"/>
          <w:b/>
          <w:sz w:val="28"/>
          <w:szCs w:val="28"/>
          <w:u w:val="single"/>
          <w:lang w:eastAsia="en-US"/>
        </w:rPr>
        <w:t>20</w:t>
      </w:r>
      <w:bookmarkStart w:id="0" w:name="_GoBack"/>
      <w:bookmarkEnd w:id="0"/>
      <w:r w:rsidRPr="00CA7C84">
        <w:rPr>
          <w:rFonts w:eastAsiaTheme="minorHAnsi"/>
          <w:b/>
          <w:sz w:val="28"/>
          <w:szCs w:val="28"/>
          <w:u w:val="single"/>
          <w:lang w:eastAsia="en-US"/>
        </w:rPr>
        <w:t>14 - Krumvíř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Calibri,Bold" w:eastAsiaTheme="minorHAnsi" w:hAnsi="Calibri,Bold" w:cs="Calibri,Bold"/>
          <w:b/>
          <w:bCs/>
          <w:sz w:val="24"/>
          <w:szCs w:val="24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Základní údaje o obci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Název obce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Krumvíř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Typ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obec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katastrálních území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AA44F9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Celková rozloha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7C495A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CA7C84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10141423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m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vertAlign w:val="superscript"/>
          <w:lang w:eastAsia="en-US"/>
        </w:rPr>
        <w:t>2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Rozloha zastavěného území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(podle ÚP 2000) </w:t>
      </w:r>
      <w:r w:rsidR="00CA7C84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75,9 ha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SLBD 2011)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1127</w:t>
      </w:r>
    </w:p>
    <w:p w:rsidR="00CA7C84" w:rsidRP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Horninové prostředí a geologie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Nerostné suroviny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Dobývací prostor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ropa, zemní plyn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(Krumvíř)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Chráněné ložisková území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ropa, zemní plyn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(Krumvíř)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Ložisko nerostů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cihlářská surovina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(nevýhradní),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Geologická rizika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Poddolované území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Sesuvná území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(klíč 2260)</w:t>
      </w:r>
    </w:p>
    <w:p w:rsidR="00CA7C84" w:rsidRP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Vodní režim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Ochrana vodních zdrojů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Vodní zdroj včetně ochranného pásma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(vod/1778/83/235/Ha)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Zranitelná oblast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Přírodní léčivý zdroj, zdroj přírodní minerální vody včetně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ochranného pásma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7C495A" w:rsidRPr="00CA7C84" w:rsidRDefault="007C495A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Protipovodňová ochrana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Záplavové území (Q100)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Trkmanka, Spálený</w:t>
      </w:r>
      <w:r w:rsidR="007C495A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potok</w:t>
      </w:r>
    </w:p>
    <w:p w:rsidR="001B4140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Rozsah zastavěného území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 záplavovém území (Q100)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25444 m2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Aktivní zóna záplavového území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Trkmanka</w:t>
      </w:r>
    </w:p>
    <w:p w:rsidR="001B4140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Rozsah zastavěného území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vertAlign w:val="superscript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 aktivní zóně záplavového území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0 m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vertAlign w:val="superscript"/>
          <w:lang w:eastAsia="en-US"/>
        </w:rPr>
        <w:t>2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Zařízení protipovodňové ochrany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1B4140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Zařízení protipovodňové ochrany – </w:t>
      </w:r>
    </w:p>
    <w:p w:rsidR="00664843" w:rsidRPr="00CA7C84" w:rsidRDefault="00664843" w:rsidP="001B4140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záměr na provedení změny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(Povodí Moravy)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Ostatní informace vztahující se k vodnímu režimu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Území chráněné pro akumulaci povrchových vod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Označení: Terezín</w:t>
      </w:r>
    </w:p>
    <w:p w:rsidR="001B4140" w:rsidRPr="00CA7C84" w:rsidRDefault="001B4140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Hygiena životního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Staré zátěže území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Čistý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Oblast se zhoršenou kvalitou ovzduší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území s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 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překročením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imisního limitu min.</w:t>
      </w:r>
    </w:p>
    <w:p w:rsidR="00664843" w:rsidRPr="00CA7C84" w:rsidRDefault="00664843" w:rsidP="001B4140">
      <w:pPr>
        <w:suppressAutoHyphens w:val="0"/>
        <w:autoSpaceDE w:val="0"/>
        <w:autoSpaceDN w:val="0"/>
        <w:adjustRightInd w:val="0"/>
        <w:spacing w:after="0"/>
        <w:ind w:left="4956" w:firstLine="708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jedné z látek dle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přílohy 1, body 1 až 3</w:t>
      </w:r>
    </w:p>
    <w:p w:rsidR="001B4140" w:rsidRPr="00CA7C84" w:rsidRDefault="00664843" w:rsidP="001B4140">
      <w:pPr>
        <w:suppressAutoHyphens w:val="0"/>
        <w:autoSpaceDE w:val="0"/>
        <w:autoSpaceDN w:val="0"/>
        <w:adjustRightInd w:val="0"/>
        <w:spacing w:after="0"/>
        <w:ind w:left="4956" w:firstLine="708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zákona o ochraně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ovzduší</w:t>
      </w:r>
    </w:p>
    <w:p w:rsidR="00664843" w:rsidRPr="00CA7C84" w:rsidRDefault="00664843" w:rsidP="001B4140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Dálnice v zastavěném území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Železniční trať v zastavěném území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(není využíváno proosobní dopravu)</w:t>
      </w:r>
    </w:p>
    <w:p w:rsidR="001B4140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Koridor vysokorychlostní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železniční trati v zastavěném území </w:t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B4140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Ochrana přírody, krajiny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Ochrana přírody a krajiny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Významný krajinný prvek registrovaný Ne</w:t>
      </w:r>
    </w:p>
    <w:p w:rsidR="001F1C26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Významný krajinný prvek registrovaný –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záměr na provedení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změny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Přechodně chráněná plocha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Národní přírodní rezervace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Přírodní rezervace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 xml:space="preserve">Národní přírodní památka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Přírodní park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Přírodní památka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Louky pod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Kumš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tátem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Přírodní památka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Památný strom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NATURA 2000 – evropsky významná lokalita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Louky pod Kumstátem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NATURA 2000 – ptačí oblast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1F1C26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Lokalita výskytu zvláště chráněných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druhů rostlin a živočichů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 národním významem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Migračně významné území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Bariérové místo dálkového migračního koridoru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ind w:left="4248" w:hanging="4248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Významné prvky v krajině terasy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niva Spáleného potoka, pohledově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exponovaný horizont podél silnice č. II/418,pohledově exponovaný horizont na východě</w:t>
      </w:r>
    </w:p>
    <w:p w:rsidR="001F1C26" w:rsidRPr="00CA7C84" w:rsidRDefault="001F1C26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Prvky územního systému ekologické stability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Nadregionální biocentrum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1F1C26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Nadregionální biocentrum –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Nadregionální biokoridor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1F1C26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Nadregionální biokoridor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Regionální biocentrum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Regionální biocentrum – záměr na provedení změny 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Regionální biokoridor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Regionální biokoridor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Kulturní dědictví</w:t>
      </w:r>
    </w:p>
    <w:p w:rsidR="001F1C26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Nemovitá kulturní památka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kříž z roku 1872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u kostela,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farní kostel 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ind w:left="4956" w:firstLine="708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sv.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Bartoloměje,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kaple sv. Cyrila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Metoděje</w:t>
      </w:r>
    </w:p>
    <w:p w:rsidR="001F1C26" w:rsidRPr="00CA7C84" w:rsidRDefault="00664843" w:rsidP="001F1C26">
      <w:pPr>
        <w:suppressAutoHyphens w:val="0"/>
        <w:autoSpaceDE w:val="0"/>
        <w:autoSpaceDN w:val="0"/>
        <w:adjustRightInd w:val="0"/>
        <w:spacing w:after="0"/>
        <w:ind w:left="4248" w:hanging="4245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Architektonicky cenná stavba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  <w:t>nádražní budova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ind w:left="4248" w:hanging="4245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Historicky významná stavba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dům č. p. 213,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ind w:left="5664" w:hanging="5664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Významné architektonicko-urbanistické prvky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Nepravidelná zástavba v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 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lokalitě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severozápadně od hřiště,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sklepní ulička u kostela,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Zemědělský půdní fond a pozemky určené k plnění funkcí lesa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Bilance ploch podle využití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Celková rozloha obce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10141423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100 %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Orná půda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7284318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71,8 %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Vinice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649308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6,4 %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Zahrada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180934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1,8 %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Ovocný sad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171958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1,7 %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Trvalý travní porost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977518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9,6 %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Lesní půda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11285 m2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0,1 %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Vodní plocha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61507 m2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0,6 %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Zastavěné plochy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188675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1,7 %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Ostatní plocha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ČÚZK)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615920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6,1 %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Bilance podle tříd ochrany půdního fondu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půdy zařazené do I. třídy ochrany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4367483 m2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43,2 %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půdy zařazené do II. třídy ochrany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3077929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30,4 %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půdy zařazené do III. třídy ochrany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1890648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18,7 %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půdy zařazené do IV. třídy ochrany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594866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5,9 %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půdy zařazené do V. třídy ochrany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176617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1,7 %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půdy nezařazené do tříd ochrany (BPEJ 00099) 10717 m2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0,1 %</w:t>
      </w:r>
    </w:p>
    <w:p w:rsidR="001F1C26" w:rsidRPr="00CA7C84" w:rsidRDefault="001F1C26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Ostatní informace vztahující se k půdnímu fondu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Koeficient ekologické stability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0,25 (hodnota SO ORP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Hustopeče je 0,46)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Komplexní pozemkové úpravy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(zahájení 9/2014)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Veřejná dopravní a technická infrastruktura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Silniční doprava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Dálnice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Sjezd z dálnice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Silnice II. třídy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Silnice II. třídy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(Krajský úřad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Jihomoravského kraje)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Silnice III. třídy Ano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Silnice III. třídy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Ne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(obec byla oslovena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 nabídkou převodu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silnice č.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III/0515 do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jejího majetku)</w:t>
      </w:r>
    </w:p>
    <w:p w:rsidR="001F1C26" w:rsidRPr="00CA7C84" w:rsidRDefault="001F1C26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Železniční doprava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Železniční dráha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regionální trať (není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využíváno pro osobní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dopravu)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Železniční dráha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Železniční stanice nebo zastávka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(není využíváno pro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osobní dopravu)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Koridor vysokorychlostní železniční trati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1F1C26">
      <w:pPr>
        <w:suppressAutoHyphens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Vlečka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Letecká doprava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Letecká stavba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 radar Sokolnice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Plocha pro sportovní létající zařízení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Vodní doprava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Vodní cesta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Nástupní místo vodní cesty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Ostatní dopravní infrastruktura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Lanová dráha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Speciální dráha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Cyklostezka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Cyklotrasa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Hipostezka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1F1C26" w:rsidRPr="00CA7C84" w:rsidRDefault="001F1C26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Technická infrastruktura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Vodovod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Vodovod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Kanalizace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dešťová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Kanalizace – záměr na provedení změny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(obec Krumvíř)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Čistírna odpadních vod </w:t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F1C26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Čistírna odpadních vod – záměr na provedení změny 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Vedení elektrizační soustavy – záměr na provedení změny 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Výrobna elektřiny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sluneční elektrárna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Výrobna elektřiny – záměr na provedení změny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Ne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(v roce 2012 existoval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záměr na bioplynovou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stanici, ale v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 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přípravě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realizace nedošlo k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posunu)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Plynovod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Plynovod – záměr na provedení změny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(JMP Net, obec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Krumvíř)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Ropovod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Ropovod – záměr na provedení změny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Produktovod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Produktovod – záměr na provedení změny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Komunikační vedení – záměr na provedení změny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Sociodemografické podmínky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Vývoj počtu obyvatel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1869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873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1980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1144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1991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1089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2001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1109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2011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1144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obyvatel 2013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1158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Předpokládaný počet obyvatel 2026 (odhad)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1183</w:t>
      </w:r>
    </w:p>
    <w:p w:rsidR="00125A67" w:rsidRPr="00CA7C84" w:rsidRDefault="00125A67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Ostatní informace vztahující se k sociodemografickým podmínkám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Domov pro seniory nebo obdobné zařízení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Mateřská škola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Základní škola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Střední škola nebo obdobné zařízení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Zdravotnické zařízení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Ne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„poradna“ dětského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lékaře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Pošta nebo poštovna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Obchod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Míra nezaměstnanosti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14,4 %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(2011,hodnota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SO ORP Hustopeče je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10,3 %)</w:t>
      </w:r>
    </w:p>
    <w:p w:rsidR="00125A67" w:rsidRPr="00CA7C84" w:rsidRDefault="00125A67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Bydlení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Vývoj bydlení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trvale obydlených domů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SLBD 2011)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361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86,2 % (celkem 419)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trvale obydlených bytů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SLBD 2011)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389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84,2 % (celkem 462)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Počet dokončených bytů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ČSÚ)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12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(za rok 2012)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Informace z územního plánu (včetně změn)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Zastavitelné plochy pro bydlení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(1.3, 1.4, 1.7, 1.8)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Zastavitelné plochy pro bydlení - disponibilní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7,0 ha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Prognóza vývoje bydlení do roku 2026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Předpokládaná roční intenzita odpadu bytů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0,2 %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Předpokládaný odpad bytů do roku 2026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9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Předpokládaný roční pokles využití bytů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0,6 %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Potřeba bytů za prognózní období celkem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vlivem nárůstu počtu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obyvatel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7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Potřeba bytů za prognózní období celkem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47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Odhad podílu skutečně vybudovaných 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nových bytů v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zastavitelných plochách určených pro bydlení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85 %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nových bytů v rodinných domech v %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90 %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Průměrná velikost pozemku pro rodinný dům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850 m2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Podíl navýšení velikosti pozemku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zohledňující veřejné prostranství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a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pod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.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20 %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Podíl velikost pozemku pro jeden byt v bytovém domě na velikosti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pozemku pro rodinný dům v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20 %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Rezerva - nedostupnost pozemků 50 %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Potřeba ploch pro bydlení na prognózní období celkem 7,9 ha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Posouzení aktuální zastavitelnosti ploch pro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bydlení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 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porovnání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 odhadovanou potřebou do roku 2026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89 %</w:t>
      </w:r>
    </w:p>
    <w:p w:rsidR="00125A67" w:rsidRPr="00CA7C84" w:rsidRDefault="00125A67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Rekreace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Ubytovací kapacity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Ubytovací zařízení hotelového typu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Ubytovací zařízení charakteru penzion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16 lůžek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Ubytovací zařízení charakteru ubytovny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Ubytovací zařízení charakteru kemp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Trvale neobydlené domy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sloužící k rekreaci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 xml:space="preserve">(dle SLBD 2011) </w:t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36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 xml:space="preserve">Rekreační a turistický potenciál </w:t>
      </w:r>
      <w:r w:rsidRPr="00CA7C84">
        <w:rPr>
          <w:rFonts w:ascii="Times New Roman" w:eastAsiaTheme="minorHAnsi" w:hAnsi="Times New Roman" w:cs="Times New Roman"/>
          <w:i/>
          <w:iCs/>
          <w:sz w:val="20"/>
          <w:szCs w:val="20"/>
          <w:lang w:eastAsia="en-US"/>
        </w:rPr>
        <w:t>(jinde neuvedený)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Kryté sportoviště přístupné veřejnosti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Koupaliště nebo aquacentrum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Lyžařský areál (sjezdovka)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Naučná stezka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Informace z územního plánu (včetně změn)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Zastavitelné plochy rekreace nebo plochy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pro sport nebo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obdobného charakteru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Hospodářské podmínky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Informace z územního plánu (včetně změn)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Zastavitelné plochy výroby nebo obdobného charakteru Ano (D1, 2.1, 2.2)</w:t>
      </w:r>
    </w:p>
    <w:p w:rsid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Ostatní informace</w:t>
      </w: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Dokumentace vztahující se k územnímu plánování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Zásady územního rozvoje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Územní plán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2000 (pořizuje se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„nový“)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Změny územního plánu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Celkem 2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Územní studie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Územní studie silnice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II/380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Územní studie vyplývající z územního plánu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Ano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Pro plochu 1.3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Dokumentace, které jsou pořizovány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--------</w:t>
      </w:r>
    </w:p>
    <w:p w:rsidR="00C41495" w:rsidRDefault="00C41495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Další informace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Zóna havarijního plánování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Ne</w:t>
      </w:r>
    </w:p>
    <w:p w:rsidR="00C41495" w:rsidRDefault="00C41495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Změny a vývoj v území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Nová přírodní památka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Nové vymezení aktivní zóny záplavového území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Nové vymezení záplavového území Q100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Kanalizace v lokalitě „Za Humny“</w:t>
      </w:r>
    </w:p>
    <w:p w:rsidR="00C41495" w:rsidRDefault="00C41495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Zastavěné území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Změna zastavěného území vůči ÚPD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Ano</w:t>
      </w:r>
    </w:p>
    <w:p w:rsidR="00C41495" w:rsidRDefault="00C41495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Zjištění udržitelného rozvoje území</w:t>
      </w: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Silné stránky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Vysoký podíl půdy v 1. třídě ochrany 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Vysoký podíl půdy v 2. třídě ochrany 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Potenciál těžby nerostného bohatství Hospodářský rozvoj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„Národopisný stadion“ Soudržnost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společenství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obyvatel území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(folklórní akce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nadmístního významu)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Muzeum Soudržnost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společenství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obyvatel území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Chráněné přírodní lokality 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Umístění areálu bývalého zemědělského družstva Životní prostředí</w:t>
      </w:r>
    </w:p>
    <w:p w:rsidR="00125A67" w:rsidRPr="00CA7C84" w:rsidRDefault="00125A67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Slabé stránky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Nízká úroveň koeficientu ekologické stability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Nižší kvalita hygieny prostředí vzhledem k absenci čistírny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odpadních vod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Horší věková struktura obyvatelstva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Soudržnost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společenství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obyvatel území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Absence lesního porostu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Eroze půdy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125A67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Absence ordinace lékaře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Soudržnost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společenství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obyvatel území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Horší kvalita ovzduší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Železniční trať v zastavěném území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Komunikace II. třídy v zastavěném území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Cyklotrasa vedena po komunikaci II. třídy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Hospodářský rozvoj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Zranitelná oblast 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Rozliv Spáleného potoka</w:t>
      </w:r>
      <w:r w:rsidR="00125A67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Životní prostředí</w:t>
      </w:r>
    </w:p>
    <w:p w:rsidR="00125A67" w:rsidRPr="00CA7C84" w:rsidRDefault="00125A67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Příležitosti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Potenciál ke zvýšení počtu pracovních míst Hospodářský rozvoj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Vytvoření podmínek pro regulovaný rozliv Spáleného potoka Životní prostředí (suchý poldr, mokřad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apod.)</w:t>
      </w: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Hrozby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Omezení rozvoje výstavby (DP)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Zastavěné území v záplavovém území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Hospodářský rozvoj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Zastavitelná plocha zasahuje do půdy I. třídy ochrany BPEJ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Zastavitelná plocha zasahuje do záplavového území Q100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Hospodářský rozvoj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Hnojení kaly z ČOV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Životní prostředí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Zastavěné území zasahuje do chráněného ložiskového území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-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Hospodářský rozvoj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Zastavěné území zasahuje do bilancovaného ložiska n. s. </w:t>
      </w:r>
      <w:r w:rsidR="00CA7C84"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- </w:t>
      </w: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Hospodářský rozvoj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sz w:val="20"/>
          <w:szCs w:val="20"/>
          <w:u w:val="single"/>
          <w:lang w:eastAsia="en-US"/>
        </w:rPr>
        <w:t>Vyhodnocení vyváženosti vztahu územních podmínek</w:t>
      </w: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Podmínky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příznivého životního prostředí -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hospodářského vývoje -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soudržnost společenství obyvatel území +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vyváženost 3c</w:t>
      </w:r>
    </w:p>
    <w:p w:rsidR="00CA7C84" w:rsidRP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Pr="00C41495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</w:pPr>
      <w:r w:rsidRPr="00C41495">
        <w:rPr>
          <w:rFonts w:ascii="Times New Roman" w:eastAsiaTheme="minorHAnsi" w:hAnsi="Times New Roman" w:cs="Times New Roman"/>
          <w:b/>
          <w:bCs/>
          <w:i/>
          <w:sz w:val="20"/>
          <w:szCs w:val="20"/>
          <w:lang w:eastAsia="en-US"/>
        </w:rPr>
        <w:t>Problémy k řešení v ÚPD obce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snižující erozi půdy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bránící rozlivu Spáleného potoka a/nebo vytvoření podmínek pro jeho regulovaný (řízený) rozliv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snižující vliv z provozu na komunikacích č. II/380 a II/418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snižující vliv záplavového území Q 100 na zastavěné území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snižující vliv železniční trati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Posouzení zastavitelných ploch s ohledem na jejich umístěné na půdách I. a II. třídy ochrany BPEJ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Posouzení zastavitelných ploch s ohledem na jejich umístěné v záplavovém území Q100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Posouzení tras pro cyklostezky a možnosti vedení cyklotras mimo komunikace II. třídy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snižující vliv z provozu na komunikaci II. třídy</w:t>
      </w:r>
    </w:p>
    <w:p w:rsidR="00664843" w:rsidRPr="00CA7C84" w:rsidRDefault="00664843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CA7C84">
        <w:rPr>
          <w:rFonts w:ascii="Times New Roman" w:eastAsiaTheme="minorHAnsi" w:hAnsi="Times New Roman" w:cs="Times New Roman"/>
          <w:sz w:val="20"/>
          <w:szCs w:val="20"/>
          <w:lang w:eastAsia="en-US"/>
        </w:rPr>
        <w:t>Opatření snižující vliv zastavěného území na ložiska nerostných surovin</w:t>
      </w:r>
    </w:p>
    <w:p w:rsidR="00CA7C84" w:rsidRPr="00CA7C84" w:rsidRDefault="00CA7C84" w:rsidP="00664843">
      <w:pPr>
        <w:suppressAutoHyphens w:val="0"/>
        <w:autoSpaceDE w:val="0"/>
        <w:autoSpaceDN w:val="0"/>
        <w:adjustRightInd w:val="0"/>
        <w:spacing w:after="0"/>
        <w:jc w:val="left"/>
        <w:rPr>
          <w:rFonts w:ascii="Times New Roman" w:eastAsiaTheme="minorHAnsi" w:hAnsi="Times New Roman" w:cs="Times New Roman"/>
          <w:b/>
          <w:bCs/>
          <w:sz w:val="20"/>
          <w:szCs w:val="20"/>
          <w:lang w:eastAsia="en-US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p w:rsidR="00664843" w:rsidRDefault="00664843" w:rsidP="006A194A">
      <w:pPr>
        <w:rPr>
          <w:noProof/>
          <w:lang w:eastAsia="cs-CZ"/>
        </w:rPr>
      </w:pPr>
    </w:p>
    <w:sectPr w:rsidR="00664843" w:rsidSect="005A5C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F2D08"/>
    <w:multiLevelType w:val="hybridMultilevel"/>
    <w:tmpl w:val="A06E1766"/>
    <w:lvl w:ilvl="0" w:tplc="85C8C6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12"/>
    <w:rsid w:val="00017E13"/>
    <w:rsid w:val="00033BE3"/>
    <w:rsid w:val="00037CDE"/>
    <w:rsid w:val="00042006"/>
    <w:rsid w:val="00053742"/>
    <w:rsid w:val="0005467A"/>
    <w:rsid w:val="00063C62"/>
    <w:rsid w:val="0008581E"/>
    <w:rsid w:val="000859F2"/>
    <w:rsid w:val="000958A1"/>
    <w:rsid w:val="000A0EE3"/>
    <w:rsid w:val="000A1503"/>
    <w:rsid w:val="000B51AF"/>
    <w:rsid w:val="000D07D2"/>
    <w:rsid w:val="000D0D5D"/>
    <w:rsid w:val="000D17D3"/>
    <w:rsid w:val="0010110D"/>
    <w:rsid w:val="00125A67"/>
    <w:rsid w:val="001263AA"/>
    <w:rsid w:val="00134657"/>
    <w:rsid w:val="00143DA2"/>
    <w:rsid w:val="001517CE"/>
    <w:rsid w:val="00165061"/>
    <w:rsid w:val="00192064"/>
    <w:rsid w:val="001A40D9"/>
    <w:rsid w:val="001B0B35"/>
    <w:rsid w:val="001B4140"/>
    <w:rsid w:val="001B47EE"/>
    <w:rsid w:val="001C34C4"/>
    <w:rsid w:val="001D3612"/>
    <w:rsid w:val="001E2300"/>
    <w:rsid w:val="001F1C26"/>
    <w:rsid w:val="001F2C91"/>
    <w:rsid w:val="001F5BAA"/>
    <w:rsid w:val="00226556"/>
    <w:rsid w:val="002826EF"/>
    <w:rsid w:val="00297132"/>
    <w:rsid w:val="002B4D8C"/>
    <w:rsid w:val="002D3CA3"/>
    <w:rsid w:val="002D56FA"/>
    <w:rsid w:val="00331C4C"/>
    <w:rsid w:val="00340799"/>
    <w:rsid w:val="003864FB"/>
    <w:rsid w:val="003A36BF"/>
    <w:rsid w:val="003D2D6E"/>
    <w:rsid w:val="00406A71"/>
    <w:rsid w:val="00425D19"/>
    <w:rsid w:val="0044038D"/>
    <w:rsid w:val="0045124E"/>
    <w:rsid w:val="00463E3D"/>
    <w:rsid w:val="00476C30"/>
    <w:rsid w:val="004C2C33"/>
    <w:rsid w:val="004D5279"/>
    <w:rsid w:val="004F1A42"/>
    <w:rsid w:val="004F5854"/>
    <w:rsid w:val="00523E5C"/>
    <w:rsid w:val="00541AC1"/>
    <w:rsid w:val="005663B6"/>
    <w:rsid w:val="005A5C70"/>
    <w:rsid w:val="00603659"/>
    <w:rsid w:val="00621371"/>
    <w:rsid w:val="00664843"/>
    <w:rsid w:val="00664C8B"/>
    <w:rsid w:val="00683045"/>
    <w:rsid w:val="006A194A"/>
    <w:rsid w:val="006B62E5"/>
    <w:rsid w:val="006D7778"/>
    <w:rsid w:val="00720AC1"/>
    <w:rsid w:val="007217FF"/>
    <w:rsid w:val="00726DC0"/>
    <w:rsid w:val="00750F11"/>
    <w:rsid w:val="007630C7"/>
    <w:rsid w:val="007633DB"/>
    <w:rsid w:val="007A22A5"/>
    <w:rsid w:val="007A53FA"/>
    <w:rsid w:val="007A5825"/>
    <w:rsid w:val="007C495A"/>
    <w:rsid w:val="00811202"/>
    <w:rsid w:val="00821ED9"/>
    <w:rsid w:val="00822E78"/>
    <w:rsid w:val="00842557"/>
    <w:rsid w:val="008501FD"/>
    <w:rsid w:val="00881054"/>
    <w:rsid w:val="0088389F"/>
    <w:rsid w:val="008A2558"/>
    <w:rsid w:val="008F574B"/>
    <w:rsid w:val="008F5F47"/>
    <w:rsid w:val="00923800"/>
    <w:rsid w:val="00925E36"/>
    <w:rsid w:val="00941A7A"/>
    <w:rsid w:val="009469D8"/>
    <w:rsid w:val="00996789"/>
    <w:rsid w:val="009B4ED4"/>
    <w:rsid w:val="009C45B5"/>
    <w:rsid w:val="009D29B0"/>
    <w:rsid w:val="009E6259"/>
    <w:rsid w:val="009F1797"/>
    <w:rsid w:val="00A2237C"/>
    <w:rsid w:val="00A32303"/>
    <w:rsid w:val="00A420CA"/>
    <w:rsid w:val="00A45C17"/>
    <w:rsid w:val="00A540D4"/>
    <w:rsid w:val="00AA3D1F"/>
    <w:rsid w:val="00AA44F9"/>
    <w:rsid w:val="00AB22D9"/>
    <w:rsid w:val="00AC0FD6"/>
    <w:rsid w:val="00B05397"/>
    <w:rsid w:val="00B44607"/>
    <w:rsid w:val="00B617C9"/>
    <w:rsid w:val="00B81330"/>
    <w:rsid w:val="00B861E8"/>
    <w:rsid w:val="00B94F71"/>
    <w:rsid w:val="00BA32FC"/>
    <w:rsid w:val="00BC568E"/>
    <w:rsid w:val="00BE274B"/>
    <w:rsid w:val="00BF39C8"/>
    <w:rsid w:val="00BF3F60"/>
    <w:rsid w:val="00C15228"/>
    <w:rsid w:val="00C41495"/>
    <w:rsid w:val="00C50F39"/>
    <w:rsid w:val="00C9072C"/>
    <w:rsid w:val="00CA7C84"/>
    <w:rsid w:val="00CF2ADF"/>
    <w:rsid w:val="00D00059"/>
    <w:rsid w:val="00D02C62"/>
    <w:rsid w:val="00D51E97"/>
    <w:rsid w:val="00D6294C"/>
    <w:rsid w:val="00D71522"/>
    <w:rsid w:val="00DA43D5"/>
    <w:rsid w:val="00DB7580"/>
    <w:rsid w:val="00DB7EA5"/>
    <w:rsid w:val="00E43F70"/>
    <w:rsid w:val="00E56C1D"/>
    <w:rsid w:val="00E6370E"/>
    <w:rsid w:val="00E6510F"/>
    <w:rsid w:val="00E771F6"/>
    <w:rsid w:val="00E80CF9"/>
    <w:rsid w:val="00EC47A6"/>
    <w:rsid w:val="00EC6777"/>
    <w:rsid w:val="00ED72C3"/>
    <w:rsid w:val="00EE1F15"/>
    <w:rsid w:val="00EE414A"/>
    <w:rsid w:val="00F05805"/>
    <w:rsid w:val="00F23DDE"/>
    <w:rsid w:val="00F370BF"/>
    <w:rsid w:val="00F50763"/>
    <w:rsid w:val="00F52F0A"/>
    <w:rsid w:val="00F74CA4"/>
    <w:rsid w:val="00F83EF0"/>
    <w:rsid w:val="00F852F4"/>
    <w:rsid w:val="00F95C2C"/>
    <w:rsid w:val="00FA2DC2"/>
    <w:rsid w:val="00FB7A97"/>
    <w:rsid w:val="00FE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3612"/>
    <w:pPr>
      <w:suppressAutoHyphens/>
      <w:spacing w:after="120" w:line="240" w:lineRule="auto"/>
      <w:jc w:val="both"/>
    </w:pPr>
    <w:rPr>
      <w:rFonts w:ascii="Calibri" w:eastAsia="Times New Roman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BA32FC"/>
    <w:pPr>
      <w:keepNext/>
      <w:suppressAutoHyphens w:val="0"/>
      <w:overflowPunct w:val="0"/>
      <w:autoSpaceDE w:val="0"/>
      <w:autoSpaceDN w:val="0"/>
      <w:adjustRightInd w:val="0"/>
      <w:ind w:left="465"/>
      <w:outlineLvl w:val="0"/>
    </w:pPr>
    <w:rPr>
      <w:rFonts w:ascii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BA32FC"/>
    <w:pPr>
      <w:keepNext/>
      <w:suppressAutoHyphens w:val="0"/>
      <w:overflowPunct w:val="0"/>
      <w:autoSpaceDE w:val="0"/>
      <w:autoSpaceDN w:val="0"/>
      <w:adjustRightInd w:val="0"/>
      <w:spacing w:after="0"/>
      <w:outlineLvl w:val="1"/>
    </w:pPr>
    <w:rPr>
      <w:rFonts w:ascii="Times New Roman" w:hAnsi="Times New Roman" w:cs="Times New Roman"/>
      <w:b/>
      <w:sz w:val="26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BA32FC"/>
    <w:pPr>
      <w:keepNext/>
      <w:suppressAutoHyphens w:val="0"/>
      <w:overflowPunct w:val="0"/>
      <w:autoSpaceDE w:val="0"/>
      <w:autoSpaceDN w:val="0"/>
      <w:adjustRightInd w:val="0"/>
      <w:ind w:firstLine="720"/>
      <w:outlineLvl w:val="2"/>
    </w:pPr>
    <w:rPr>
      <w:rFonts w:ascii="Times New Roman" w:hAnsi="Times New Roman" w:cs="Times New Roman"/>
      <w:sz w:val="26"/>
      <w:szCs w:val="20"/>
      <w:lang w:eastAsia="cs-CZ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2FC"/>
    <w:pPr>
      <w:keepNext/>
      <w:suppressAutoHyphens w:val="0"/>
      <w:overflowPunct w:val="0"/>
      <w:autoSpaceDE w:val="0"/>
      <w:autoSpaceDN w:val="0"/>
      <w:adjustRightInd w:val="0"/>
      <w:spacing w:after="0"/>
      <w:jc w:val="center"/>
      <w:outlineLvl w:val="6"/>
    </w:pPr>
    <w:rPr>
      <w:rFonts w:ascii="Times New Roman" w:hAnsi="Times New Roman" w:cs="Times New Roman"/>
      <w:b/>
      <w:sz w:val="2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D3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C2C3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C3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rsid w:val="00BA32FC"/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A32FC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A32FC"/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A32FC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BA32FC"/>
    <w:pPr>
      <w:suppressAutoHyphens w:val="0"/>
      <w:overflowPunct w:val="0"/>
      <w:autoSpaceDE w:val="0"/>
      <w:autoSpaceDN w:val="0"/>
      <w:adjustRightInd w:val="0"/>
      <w:spacing w:after="0"/>
    </w:pPr>
    <w:rPr>
      <w:rFonts w:ascii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A32F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BA32FC"/>
    <w:pPr>
      <w:suppressAutoHyphens w:val="0"/>
      <w:overflowPunct w:val="0"/>
      <w:autoSpaceDE w:val="0"/>
      <w:autoSpaceDN w:val="0"/>
      <w:adjustRightInd w:val="0"/>
      <w:ind w:left="284" w:hanging="284"/>
    </w:pPr>
    <w:rPr>
      <w:rFonts w:ascii="Times New Roman" w:hAnsi="Times New Roman" w:cs="Times New Roman"/>
      <w:b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B4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3612"/>
    <w:pPr>
      <w:suppressAutoHyphens/>
      <w:spacing w:after="120" w:line="240" w:lineRule="auto"/>
      <w:jc w:val="both"/>
    </w:pPr>
    <w:rPr>
      <w:rFonts w:ascii="Calibri" w:eastAsia="Times New Roman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BA32FC"/>
    <w:pPr>
      <w:keepNext/>
      <w:suppressAutoHyphens w:val="0"/>
      <w:overflowPunct w:val="0"/>
      <w:autoSpaceDE w:val="0"/>
      <w:autoSpaceDN w:val="0"/>
      <w:adjustRightInd w:val="0"/>
      <w:ind w:left="465"/>
      <w:outlineLvl w:val="0"/>
    </w:pPr>
    <w:rPr>
      <w:rFonts w:ascii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BA32FC"/>
    <w:pPr>
      <w:keepNext/>
      <w:suppressAutoHyphens w:val="0"/>
      <w:overflowPunct w:val="0"/>
      <w:autoSpaceDE w:val="0"/>
      <w:autoSpaceDN w:val="0"/>
      <w:adjustRightInd w:val="0"/>
      <w:spacing w:after="0"/>
      <w:outlineLvl w:val="1"/>
    </w:pPr>
    <w:rPr>
      <w:rFonts w:ascii="Times New Roman" w:hAnsi="Times New Roman" w:cs="Times New Roman"/>
      <w:b/>
      <w:sz w:val="26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BA32FC"/>
    <w:pPr>
      <w:keepNext/>
      <w:suppressAutoHyphens w:val="0"/>
      <w:overflowPunct w:val="0"/>
      <w:autoSpaceDE w:val="0"/>
      <w:autoSpaceDN w:val="0"/>
      <w:adjustRightInd w:val="0"/>
      <w:ind w:firstLine="720"/>
      <w:outlineLvl w:val="2"/>
    </w:pPr>
    <w:rPr>
      <w:rFonts w:ascii="Times New Roman" w:hAnsi="Times New Roman" w:cs="Times New Roman"/>
      <w:sz w:val="26"/>
      <w:szCs w:val="20"/>
      <w:lang w:eastAsia="cs-CZ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2FC"/>
    <w:pPr>
      <w:keepNext/>
      <w:suppressAutoHyphens w:val="0"/>
      <w:overflowPunct w:val="0"/>
      <w:autoSpaceDE w:val="0"/>
      <w:autoSpaceDN w:val="0"/>
      <w:adjustRightInd w:val="0"/>
      <w:spacing w:after="0"/>
      <w:jc w:val="center"/>
      <w:outlineLvl w:val="6"/>
    </w:pPr>
    <w:rPr>
      <w:rFonts w:ascii="Times New Roman" w:hAnsi="Times New Roman" w:cs="Times New Roman"/>
      <w:b/>
      <w:sz w:val="2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D3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C2C3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C3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rsid w:val="00BA32FC"/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BA32FC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A32FC"/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BA32FC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BA32FC"/>
    <w:pPr>
      <w:suppressAutoHyphens w:val="0"/>
      <w:overflowPunct w:val="0"/>
      <w:autoSpaceDE w:val="0"/>
      <w:autoSpaceDN w:val="0"/>
      <w:adjustRightInd w:val="0"/>
      <w:spacing w:after="0"/>
    </w:pPr>
    <w:rPr>
      <w:rFonts w:ascii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A32F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BA32FC"/>
    <w:pPr>
      <w:suppressAutoHyphens w:val="0"/>
      <w:overflowPunct w:val="0"/>
      <w:autoSpaceDE w:val="0"/>
      <w:autoSpaceDN w:val="0"/>
      <w:adjustRightInd w:val="0"/>
      <w:ind w:left="284" w:hanging="284"/>
    </w:pPr>
    <w:rPr>
      <w:rFonts w:ascii="Times New Roman" w:hAnsi="Times New Roman" w:cs="Times New Roman"/>
      <w:b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B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2027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98588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9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26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8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8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F0ABD-F53D-4CAB-AC46-07E6B415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1774</Words>
  <Characters>10469</Characters>
  <Application>Microsoft Office Word</Application>
  <DocSecurity>4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zajicek</dc:creator>
  <cp:lastModifiedBy>chvalovam</cp:lastModifiedBy>
  <cp:revision>2</cp:revision>
  <cp:lastPrinted>2013-07-30T05:15:00Z</cp:lastPrinted>
  <dcterms:created xsi:type="dcterms:W3CDTF">2016-06-14T07:22:00Z</dcterms:created>
  <dcterms:modified xsi:type="dcterms:W3CDTF">2016-06-14T07:22:00Z</dcterms:modified>
</cp:coreProperties>
</file>